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21B57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450" w:lineRule="atLeast"/>
        <w:jc w:val="center"/>
        <w:outlineLvl w:val="1"/>
        <w:rPr>
          <w:rFonts w:ascii="微软雅黑" w:eastAsia="微软雅黑" w:hAnsi="微软雅黑" w:cs="Arial"/>
          <w:color w:val="122E67"/>
          <w:kern w:val="36"/>
          <w:sz w:val="42"/>
          <w:szCs w:val="42"/>
        </w:rPr>
      </w:pPr>
      <w:r w:rsidRPr="007260FA">
        <w:rPr>
          <w:rFonts w:ascii="微软雅黑" w:eastAsia="微软雅黑" w:hAnsi="微软雅黑" w:cs="Arial" w:hint="eastAsia"/>
          <w:color w:val="122E67"/>
          <w:kern w:val="36"/>
          <w:sz w:val="42"/>
          <w:szCs w:val="42"/>
        </w:rPr>
        <w:t>中国（绵阳）科技城协同创新大赛组委会关于举办2019中国创新创业大赛技术融合专业赛（绵阳协同创新大赛）的通知</w:t>
      </w:r>
    </w:p>
    <w:p w14:paraId="547FB18B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360" w:lineRule="atLeast"/>
        <w:jc w:val="left"/>
        <w:rPr>
          <w:rFonts w:ascii="Arial" w:eastAsia="宋体" w:hAnsi="Arial" w:cs="Arial" w:hint="eastAsia"/>
          <w:color w:val="122E67"/>
          <w:kern w:val="0"/>
          <w:szCs w:val="21"/>
        </w:rPr>
      </w:pP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各有关单位：</w:t>
      </w:r>
      <w:bookmarkStart w:id="0" w:name="_GoBack"/>
      <w:bookmarkEnd w:id="0"/>
    </w:p>
    <w:p w14:paraId="41CB12A3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为深入推进协同创新发展，搭建展示、对接、转化、交易平台，推动创新资源、创新技术、创新成果的转移转化，营造良好的创新创业生态环境。根据《科技部关于举办第八届中国创新创业大赛的通知》（国科发火〔2019〕106号），科技部火炬中心、国防科工局信息中心、四川省科技厅、绵阳市人民政府将共同举办2019中国创新创业大赛技术融合专业赛（绵阳协同创新大赛）。现将有关事项通知如下：</w:t>
      </w:r>
    </w:p>
    <w:p w14:paraId="2696DBB2" w14:textId="77777777" w:rsidR="007260FA" w:rsidRPr="007260FA" w:rsidRDefault="007260FA" w:rsidP="007260FA">
      <w:pPr>
        <w:widowControl/>
        <w:shd w:val="clear" w:color="auto" w:fill="E9F3FD"/>
        <w:spacing w:beforeLines="100" w:before="312" w:line="600" w:lineRule="exact"/>
        <w:ind w:left="1315" w:hanging="72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黑体" w:eastAsia="黑体" w:hAnsi="黑体" w:cs="黑体" w:hint="eastAsia"/>
          <w:color w:val="122E67"/>
          <w:kern w:val="0"/>
          <w:sz w:val="32"/>
          <w:szCs w:val="32"/>
        </w:rPr>
        <w:t>一、</w:t>
      </w:r>
      <w:r w:rsidRPr="007260FA">
        <w:rPr>
          <w:rFonts w:ascii="Times New Roman" w:eastAsia="黑体" w:hAnsi="Times New Roman" w:cs="Times New Roman"/>
          <w:color w:val="122E67"/>
          <w:kern w:val="0"/>
          <w:sz w:val="14"/>
          <w:szCs w:val="14"/>
        </w:rPr>
        <w:t xml:space="preserve"> </w:t>
      </w:r>
      <w:r w:rsidRPr="007260FA">
        <w:rPr>
          <w:rFonts w:ascii="黑体" w:eastAsia="黑体" w:hAnsi="黑体" w:cs="Arial" w:hint="eastAsia"/>
          <w:color w:val="122E67"/>
          <w:kern w:val="0"/>
          <w:sz w:val="32"/>
          <w:szCs w:val="32"/>
        </w:rPr>
        <w:t>组织单位</w:t>
      </w:r>
    </w:p>
    <w:p w14:paraId="04770566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指导单位：中央军事委员会科学技术委员会</w:t>
      </w:r>
    </w:p>
    <w:p w14:paraId="6516C357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国家国防科技工业局</w:t>
      </w:r>
    </w:p>
    <w:p w14:paraId="3550BDAB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中央军委装备发展部国防知识产权局</w:t>
      </w:r>
    </w:p>
    <w:p w14:paraId="75891386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支持单位：中国工程物理研究院</w:t>
      </w:r>
    </w:p>
    <w:p w14:paraId="26BEE3AF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中国工业经济联合会</w:t>
      </w:r>
    </w:p>
    <w:p w14:paraId="0431688D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lastRenderedPageBreak/>
        <w:t>主</w:t>
      </w:r>
      <w:r w:rsidRPr="007260FA">
        <w:rPr>
          <w:rFonts w:ascii="Calibri" w:eastAsia="仿宋" w:hAnsi="Calibri" w:cs="Calibri"/>
          <w:color w:val="122E67"/>
          <w:kern w:val="0"/>
          <w:sz w:val="32"/>
          <w:szCs w:val="32"/>
        </w:rPr>
        <w:t>   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 xml:space="preserve"> 办：科学技术部火炬高技术产业开发中心</w:t>
      </w:r>
    </w:p>
    <w:p w14:paraId="768490A2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国家国防科技工业局信息中心</w:t>
      </w:r>
    </w:p>
    <w:p w14:paraId="56AD8585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四川省科学技术厅</w:t>
      </w:r>
    </w:p>
    <w:p w14:paraId="59E82418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绵阳市人民政府</w:t>
      </w:r>
    </w:p>
    <w:p w14:paraId="39BD9252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承</w:t>
      </w:r>
      <w:r w:rsidRPr="007260FA">
        <w:rPr>
          <w:rFonts w:ascii="Calibri" w:eastAsia="仿宋" w:hAnsi="Calibri" w:cs="Calibri"/>
          <w:color w:val="122E67"/>
          <w:kern w:val="0"/>
          <w:sz w:val="32"/>
          <w:szCs w:val="32"/>
        </w:rPr>
        <w:t>   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 xml:space="preserve"> 办：绵阳市科学技术局</w:t>
      </w:r>
    </w:p>
    <w:p w14:paraId="38A33951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绵阳科技城科教创业园区管理委员会</w:t>
      </w:r>
    </w:p>
    <w:p w14:paraId="68DAB6FC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700" w:firstLine="22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中国（绵阳）科技城工业技术研究院</w:t>
      </w:r>
    </w:p>
    <w:p w14:paraId="29AAC43B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协</w:t>
      </w:r>
      <w:r w:rsidRPr="007260FA">
        <w:rPr>
          <w:rFonts w:ascii="Calibri" w:eastAsia="仿宋" w:hAnsi="Calibri" w:cs="Calibri"/>
          <w:color w:val="122E67"/>
          <w:kern w:val="0"/>
          <w:sz w:val="32"/>
          <w:szCs w:val="32"/>
        </w:rPr>
        <w:t>   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 xml:space="preserve"> 办：国家军民两用技术交易中心</w:t>
      </w:r>
    </w:p>
    <w:p w14:paraId="1736C761" w14:textId="77777777" w:rsidR="007260FA" w:rsidRPr="007260FA" w:rsidRDefault="007260FA" w:rsidP="007260FA">
      <w:pPr>
        <w:widowControl/>
        <w:shd w:val="clear" w:color="auto" w:fill="E9F3FD"/>
        <w:spacing w:beforeLines="100" w:before="312" w:line="600" w:lineRule="exact"/>
        <w:ind w:left="1315" w:hanging="72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黑体" w:eastAsia="黑体" w:hAnsi="黑体" w:cs="黑体" w:hint="eastAsia"/>
          <w:color w:val="122E67"/>
          <w:kern w:val="0"/>
          <w:sz w:val="32"/>
          <w:szCs w:val="32"/>
        </w:rPr>
        <w:t>二、</w:t>
      </w:r>
      <w:r w:rsidRPr="007260FA">
        <w:rPr>
          <w:rFonts w:ascii="Times New Roman" w:eastAsia="黑体" w:hAnsi="Times New Roman" w:cs="Times New Roman"/>
          <w:color w:val="122E67"/>
          <w:kern w:val="0"/>
          <w:sz w:val="14"/>
          <w:szCs w:val="14"/>
        </w:rPr>
        <w:t xml:space="preserve"> </w:t>
      </w:r>
      <w:r w:rsidRPr="007260FA">
        <w:rPr>
          <w:rFonts w:ascii="黑体" w:eastAsia="黑体" w:hAnsi="黑体" w:cs="Arial" w:hint="eastAsia"/>
          <w:color w:val="122E67"/>
          <w:kern w:val="0"/>
          <w:sz w:val="32"/>
          <w:szCs w:val="32"/>
        </w:rPr>
        <w:t>参赛条件</w:t>
      </w:r>
    </w:p>
    <w:p w14:paraId="2B8B93B4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（一）</w:t>
      </w:r>
      <w:r w:rsidRPr="007260FA">
        <w:rPr>
          <w:rFonts w:ascii="Times New Roman" w:eastAsia="楷体" w:hAnsi="Times New Roman" w:cs="Times New Roman"/>
          <w:color w:val="122E67"/>
          <w:kern w:val="0"/>
          <w:sz w:val="14"/>
          <w:szCs w:val="14"/>
        </w:rPr>
        <w:t> 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参赛主体：</w:t>
      </w:r>
      <w:r w:rsidRPr="007260FA">
        <w:rPr>
          <w:rFonts w:ascii="仿宋_GB2312" w:eastAsia="仿宋_GB2312" w:hAnsi="华文楷体" w:cs="Arial" w:hint="eastAsia"/>
          <w:color w:val="122E67"/>
          <w:kern w:val="0"/>
          <w:sz w:val="32"/>
          <w:szCs w:val="32"/>
        </w:rPr>
        <w:t>科研院所、高校及创新团队、科技型企业。往届大赛获奖项目不再参加本届大赛。</w:t>
      </w:r>
    </w:p>
    <w:p w14:paraId="24AE3476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（二）</w:t>
      </w:r>
      <w:r w:rsidRPr="007260FA">
        <w:rPr>
          <w:rFonts w:ascii="Times New Roman" w:eastAsia="楷体" w:hAnsi="Times New Roman" w:cs="Times New Roman"/>
          <w:color w:val="122E67"/>
          <w:kern w:val="0"/>
          <w:sz w:val="14"/>
          <w:szCs w:val="14"/>
        </w:rPr>
        <w:t xml:space="preserve">  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项目范围：</w:t>
      </w:r>
      <w:r w:rsidRPr="007260FA">
        <w:rPr>
          <w:rFonts w:ascii="仿宋_GB2312" w:eastAsia="仿宋_GB2312" w:hAnsi="华文楷体" w:cs="Arial" w:hint="eastAsia"/>
          <w:color w:val="122E67"/>
          <w:kern w:val="0"/>
          <w:sz w:val="32"/>
          <w:szCs w:val="32"/>
        </w:rPr>
        <w:t>装备制造、航空航天、核技术应用、特种机械与车辆、光机电一体化、电子信息、人工智能、新材料、新能源等产业。</w:t>
      </w:r>
    </w:p>
    <w:p w14:paraId="4A1F6510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（三）</w:t>
      </w:r>
      <w:r w:rsidRPr="007260FA">
        <w:rPr>
          <w:rFonts w:ascii="Times New Roman" w:eastAsia="楷体" w:hAnsi="Times New Roman" w:cs="Times New Roman"/>
          <w:color w:val="122E67"/>
          <w:kern w:val="0"/>
          <w:sz w:val="14"/>
          <w:szCs w:val="14"/>
        </w:rPr>
        <w:t xml:space="preserve">  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其它要求</w:t>
      </w:r>
    </w:p>
    <w:p w14:paraId="3174FA9E" w14:textId="77777777" w:rsidR="007260FA" w:rsidRPr="007260FA" w:rsidRDefault="007260FA" w:rsidP="007260FA">
      <w:pPr>
        <w:widowControl/>
        <w:shd w:val="clear" w:color="auto" w:fill="E9F3FD"/>
        <w:tabs>
          <w:tab w:val="left" w:pos="1134"/>
        </w:tabs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1.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具有创新能力和较高成长潜力，主要从事高新技术与产品的研发、制造、服务等方面业务。</w:t>
      </w:r>
    </w:p>
    <w:p w14:paraId="6FBF5723" w14:textId="77777777" w:rsidR="007260FA" w:rsidRPr="007260FA" w:rsidRDefault="007260FA" w:rsidP="007260FA">
      <w:pPr>
        <w:widowControl/>
        <w:shd w:val="clear" w:color="auto" w:fill="E9F3FD"/>
        <w:tabs>
          <w:tab w:val="left" w:pos="1134"/>
        </w:tabs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lastRenderedPageBreak/>
        <w:t>2.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拥有知识产权且无产权纠纷。</w:t>
      </w:r>
    </w:p>
    <w:p w14:paraId="1A7ECE75" w14:textId="77777777" w:rsidR="007260FA" w:rsidRPr="007260FA" w:rsidRDefault="007260FA" w:rsidP="007260FA">
      <w:pPr>
        <w:widowControl/>
        <w:shd w:val="clear" w:color="auto" w:fill="E9F3FD"/>
        <w:tabs>
          <w:tab w:val="left" w:pos="1134"/>
        </w:tabs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3.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企业（团队）运营规范、信誉良好、无不良记录。</w:t>
      </w:r>
    </w:p>
    <w:p w14:paraId="0DC311FC" w14:textId="77777777" w:rsidR="007260FA" w:rsidRPr="007260FA" w:rsidRDefault="007260FA" w:rsidP="007260FA">
      <w:pPr>
        <w:widowControl/>
        <w:shd w:val="clear" w:color="auto" w:fill="E9F3FD"/>
        <w:tabs>
          <w:tab w:val="left" w:pos="1134"/>
        </w:tabs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4.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参赛项目需自行脱密。</w:t>
      </w:r>
    </w:p>
    <w:p w14:paraId="0F959BDC" w14:textId="77777777" w:rsidR="007260FA" w:rsidRPr="007260FA" w:rsidRDefault="007260FA" w:rsidP="007260FA">
      <w:pPr>
        <w:widowControl/>
        <w:shd w:val="clear" w:color="auto" w:fill="E9F3FD"/>
        <w:spacing w:beforeLines="100" w:before="312" w:line="600" w:lineRule="exact"/>
        <w:ind w:left="1315" w:hanging="72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黑体" w:eastAsia="黑体" w:hAnsi="黑体" w:cs="黑体" w:hint="eastAsia"/>
          <w:snapToGrid w:val="0"/>
          <w:color w:val="122E67"/>
          <w:kern w:val="0"/>
          <w:sz w:val="32"/>
          <w:szCs w:val="32"/>
        </w:rPr>
        <w:t>三、</w:t>
      </w:r>
      <w:r w:rsidRPr="007260FA">
        <w:rPr>
          <w:rFonts w:ascii="黑体" w:eastAsia="黑体" w:hAnsi="黑体" w:cs="Arial" w:hint="eastAsia"/>
          <w:snapToGrid w:val="0"/>
          <w:color w:val="122E67"/>
          <w:kern w:val="0"/>
          <w:sz w:val="32"/>
          <w:szCs w:val="32"/>
        </w:rPr>
        <w:t>赛制流程</w:t>
      </w:r>
    </w:p>
    <w:p w14:paraId="7988F9F2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snapToGrid w:val="0"/>
          <w:color w:val="122E67"/>
          <w:kern w:val="0"/>
          <w:sz w:val="32"/>
          <w:szCs w:val="32"/>
        </w:rPr>
        <w:t>（一）项目征集及审核（～8月5日）：</w:t>
      </w: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大赛组委会动员、组织参赛企业及团队通过指定官网“国家军民两用技术交易中心”（http://www.jmrh-tech.com）、邮箱（jzmds@myist.cn）进行报名，并对参赛项目进行形式审核。</w:t>
      </w:r>
    </w:p>
    <w:p w14:paraId="16E9AD81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snapToGrid w:val="0"/>
          <w:color w:val="122E67"/>
          <w:kern w:val="0"/>
          <w:sz w:val="32"/>
          <w:szCs w:val="32"/>
        </w:rPr>
        <w:t>（二）初赛（8月5日～8月10日）：</w:t>
      </w:r>
      <w:r w:rsidRPr="007260FA">
        <w:rPr>
          <w:rFonts w:ascii="仿宋_GB2312" w:eastAsia="仿宋_GB2312" w:hAnsi="华文楷体" w:cs="Arial" w:hint="eastAsia"/>
          <w:snapToGrid w:val="0"/>
          <w:color w:val="122E67"/>
          <w:kern w:val="0"/>
          <w:sz w:val="32"/>
          <w:szCs w:val="32"/>
        </w:rPr>
        <w:t>专家对参赛单位及团队项目进行评选，评选出80个项目晋级半决赛。</w:t>
      </w:r>
    </w:p>
    <w:p w14:paraId="1DB1F99E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snapToGrid w:val="0"/>
          <w:color w:val="122E67"/>
          <w:kern w:val="0"/>
          <w:sz w:val="32"/>
          <w:szCs w:val="32"/>
        </w:rPr>
        <w:t>（三）培训暨半决赛（8月10日～8月15日）：</w:t>
      </w:r>
      <w:r w:rsidRPr="007260FA">
        <w:rPr>
          <w:rFonts w:ascii="仿宋_GB2312" w:eastAsia="仿宋_GB2312" w:hAnsi="华文楷体" w:cs="Arial" w:hint="eastAsia"/>
          <w:snapToGrid w:val="0"/>
          <w:color w:val="122E67"/>
          <w:kern w:val="0"/>
          <w:sz w:val="32"/>
          <w:szCs w:val="32"/>
        </w:rPr>
        <w:t>对晋级半决赛的80个项目进行赛前辅导及路演培训；晋级半决赛的单位及团队项目进行现场路演、答辩、评审，评选出20个单位及团队晋级决赛。</w:t>
      </w:r>
    </w:p>
    <w:p w14:paraId="4FC1EE60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snapToGrid w:val="0"/>
          <w:color w:val="122E67"/>
          <w:kern w:val="0"/>
          <w:sz w:val="32"/>
          <w:szCs w:val="32"/>
        </w:rPr>
        <w:t>（四）决赛项目考察核实（8月15日～8月25日）：</w:t>
      </w:r>
      <w:r w:rsidRPr="007260FA">
        <w:rPr>
          <w:rFonts w:ascii="仿宋_GB2312" w:eastAsia="仿宋_GB2312" w:hAnsi="华文楷体" w:cs="Arial" w:hint="eastAsia"/>
          <w:snapToGrid w:val="0"/>
          <w:color w:val="122E67"/>
          <w:kern w:val="0"/>
          <w:sz w:val="32"/>
          <w:szCs w:val="32"/>
        </w:rPr>
        <w:t>对晋级决赛的20个项目进行考察、核实和对接，确保进入决赛项目的真实性。</w:t>
      </w:r>
    </w:p>
    <w:p w14:paraId="5DE2B9C1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snapToGrid w:val="0"/>
          <w:color w:val="122E67"/>
          <w:kern w:val="0"/>
          <w:sz w:val="32"/>
          <w:szCs w:val="32"/>
        </w:rPr>
        <w:lastRenderedPageBreak/>
        <w:t>（五）决赛暨颁奖仪式（8月30日）：</w:t>
      </w:r>
      <w:r w:rsidRPr="007260FA">
        <w:rPr>
          <w:rFonts w:ascii="仿宋_GB2312" w:eastAsia="仿宋_GB2312" w:hAnsi="华文楷体" w:cs="Arial" w:hint="eastAsia"/>
          <w:snapToGrid w:val="0"/>
          <w:color w:val="122E67"/>
          <w:kern w:val="0"/>
          <w:sz w:val="32"/>
          <w:szCs w:val="32"/>
        </w:rPr>
        <w:t>晋级决赛的20个项目在绵阳现场路演、答辩、评审，评选出一、二、三等奖及优胜奖并参加颁奖仪式及投资推介活动。</w:t>
      </w:r>
    </w:p>
    <w:p w14:paraId="5DFD1BFF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ind w:firstLine="64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华文楷体" w:eastAsia="华文楷体" w:hAnsi="华文楷体" w:cs="Arial" w:hint="eastAsia"/>
          <w:b/>
          <w:bCs/>
          <w:snapToGrid w:val="0"/>
          <w:color w:val="122E67"/>
          <w:kern w:val="0"/>
          <w:sz w:val="32"/>
          <w:szCs w:val="32"/>
        </w:rPr>
        <w:t> </w:t>
      </w:r>
      <w:r w:rsidRPr="007260FA">
        <w:rPr>
          <w:rFonts w:ascii="黑体" w:eastAsia="黑体" w:hAnsi="黑体" w:cs="Arial" w:hint="eastAsia"/>
          <w:color w:val="122E67"/>
          <w:kern w:val="0"/>
          <w:sz w:val="32"/>
          <w:szCs w:val="32"/>
        </w:rPr>
        <w:t>四、</w:t>
      </w:r>
      <w:r w:rsidRPr="007260FA">
        <w:rPr>
          <w:rFonts w:ascii="Times New Roman" w:eastAsia="黑体" w:hAnsi="Times New Roman" w:cs="Times New Roman"/>
          <w:color w:val="122E67"/>
          <w:kern w:val="0"/>
          <w:sz w:val="14"/>
          <w:szCs w:val="14"/>
        </w:rPr>
        <w:t xml:space="preserve"> </w:t>
      </w:r>
      <w:r w:rsidRPr="007260FA">
        <w:rPr>
          <w:rFonts w:ascii="黑体" w:eastAsia="黑体" w:hAnsi="黑体" w:cs="Arial" w:hint="eastAsia"/>
          <w:color w:val="122E67"/>
          <w:kern w:val="0"/>
          <w:sz w:val="32"/>
          <w:szCs w:val="32"/>
        </w:rPr>
        <w:t>奖项与支持</w:t>
      </w:r>
    </w:p>
    <w:p w14:paraId="5227DB47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（一）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奖项类别</w:t>
      </w:r>
    </w:p>
    <w:p w14:paraId="5E14243C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大赛设置一等奖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1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名，二等奖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3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名，三等奖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6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名，优胜奖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10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名。</w:t>
      </w:r>
    </w:p>
    <w:p w14:paraId="45BEEBC9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（二）</w:t>
      </w:r>
      <w:r w:rsidRPr="007260FA">
        <w:rPr>
          <w:rFonts w:ascii="Times New Roman" w:eastAsia="楷体" w:hAnsi="Times New Roman" w:cs="Times New Roman"/>
          <w:color w:val="122E67"/>
          <w:kern w:val="0"/>
          <w:sz w:val="14"/>
          <w:szCs w:val="14"/>
        </w:rPr>
        <w:t xml:space="preserve">  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大赛奖励</w:t>
      </w:r>
    </w:p>
    <w:p w14:paraId="48685DA1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对获奖项目给予奖励。其中，一等奖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20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万元（人民币，下同），二等奖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8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万元，三等奖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5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万元，优胜奖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0.5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万元。</w:t>
      </w:r>
    </w:p>
    <w:p w14:paraId="66DCBAA2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firstLine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楷体" w:hint="eastAsia"/>
          <w:color w:val="122E67"/>
          <w:kern w:val="0"/>
          <w:sz w:val="32"/>
          <w:szCs w:val="32"/>
        </w:rPr>
        <w:t>（三）</w:t>
      </w:r>
      <w:r w:rsidRPr="007260FA">
        <w:rPr>
          <w:rFonts w:ascii="Times New Roman" w:eastAsia="楷体" w:hAnsi="Times New Roman" w:cs="Times New Roman"/>
          <w:color w:val="122E67"/>
          <w:kern w:val="0"/>
          <w:sz w:val="14"/>
          <w:szCs w:val="14"/>
        </w:rPr>
        <w:t xml:space="preserve">  </w:t>
      </w: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赛事支持</w:t>
      </w:r>
    </w:p>
    <w:p w14:paraId="3CF0CE31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对于符合条件的优秀参赛企业及团队：</w:t>
      </w:r>
    </w:p>
    <w:p w14:paraId="7D22F282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1.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可获得相关资质办理、投融资、贷款授信、成果转化等方面的优先支持，并优先推荐与各级政府扶持政策对接。</w:t>
      </w:r>
    </w:p>
    <w:p w14:paraId="40BE54B8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2.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可获得创业政策、创业融资、商业模式等方面的专业辅导培训。</w:t>
      </w:r>
    </w:p>
    <w:p w14:paraId="60C4FB79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3.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赛后对优秀参赛企业及团队进行多方位、广覆盖的专题推荐报道。</w:t>
      </w:r>
    </w:p>
    <w:p w14:paraId="7FF0289F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lastRenderedPageBreak/>
        <w:t>4.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选择在绵阳市科教创业园区落户的项目，将提供政策、融资、人才、企业资源链接等支持，助力产品工业化、市场化。</w:t>
      </w:r>
    </w:p>
    <w:p w14:paraId="3B534988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5.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对落地绵阳发展的高层次人才、拔尖人才、创新创业领军人物和团队、技能人才，根据绵阳市《关于实施</w:t>
      </w: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“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科技城人才计划</w:t>
      </w: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”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的若干措施》等有关政策给予补助。</w:t>
      </w:r>
    </w:p>
    <w:p w14:paraId="0538C44C" w14:textId="77777777" w:rsidR="007260FA" w:rsidRPr="007260FA" w:rsidRDefault="007260FA" w:rsidP="007260FA">
      <w:pPr>
        <w:widowControl/>
        <w:shd w:val="clear" w:color="auto" w:fill="E9F3FD"/>
        <w:spacing w:beforeLines="100" w:before="312" w:line="600" w:lineRule="exact"/>
        <w:ind w:left="595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黑体" w:eastAsia="黑体" w:hAnsi="黑体" w:cs="Arial" w:hint="eastAsia"/>
          <w:snapToGrid w:val="0"/>
          <w:color w:val="122E67"/>
          <w:kern w:val="0"/>
          <w:sz w:val="32"/>
          <w:szCs w:val="32"/>
        </w:rPr>
        <w:t>五、报名信息</w:t>
      </w:r>
    </w:p>
    <w:p w14:paraId="6DCF3B93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left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（一）报名时间</w:t>
      </w:r>
    </w:p>
    <w:p w14:paraId="422D576F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left="64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即日起开始报名，截止日期</w:t>
      </w:r>
      <w:r w:rsidRPr="007260FA">
        <w:rPr>
          <w:rFonts w:ascii="仿宋" w:eastAsia="仿宋" w:hAnsi="仿宋" w:cs="Arial" w:hint="eastAsia"/>
          <w:color w:val="122E67"/>
          <w:kern w:val="0"/>
          <w:sz w:val="32"/>
          <w:szCs w:val="32"/>
        </w:rPr>
        <w:t>8月5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日。</w:t>
      </w:r>
    </w:p>
    <w:p w14:paraId="60801FDA" w14:textId="77777777" w:rsidR="007260FA" w:rsidRPr="007260FA" w:rsidRDefault="007260FA" w:rsidP="007260FA">
      <w:pPr>
        <w:widowControl/>
        <w:shd w:val="clear" w:color="auto" w:fill="E9F3FD"/>
        <w:tabs>
          <w:tab w:val="left" w:pos="1560"/>
        </w:tabs>
        <w:spacing w:before="100" w:beforeAutospacing="1" w:after="100" w:afterAutospacing="1" w:line="600" w:lineRule="exact"/>
        <w:ind w:left="591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楷体" w:eastAsia="楷体" w:hAnsi="楷体" w:cs="Arial" w:hint="eastAsia"/>
          <w:color w:val="122E67"/>
          <w:kern w:val="0"/>
          <w:sz w:val="32"/>
          <w:szCs w:val="32"/>
        </w:rPr>
        <w:t>（二）报名方式</w:t>
      </w:r>
    </w:p>
    <w:p w14:paraId="2E52E8EE" w14:textId="77777777" w:rsidR="007260FA" w:rsidRPr="007260FA" w:rsidRDefault="007260FA" w:rsidP="007260FA">
      <w:pPr>
        <w:widowControl/>
        <w:shd w:val="clear" w:color="auto" w:fill="E9F3FD"/>
        <w:tabs>
          <w:tab w:val="left" w:pos="295"/>
        </w:tabs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参赛企业及团队通过大赛组委会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指定官网“国家军民两用技术交易中心”（http://www.jmrh-tech.com）或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发送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《参赛项目信息表》及《参赛项目商业计划书》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至大赛组委会指定邮箱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（jzmds@myist.cn）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进行报名。</w:t>
      </w: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《参赛项目信息表》及《参赛项目商业计划书》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详见附件一、附件二。</w:t>
      </w:r>
    </w:p>
    <w:p w14:paraId="3DBEBA2B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报名参赛项目须自行脱密并提交完整报名材料，并对所填信息的准确性和真实性负责。本大赛与中国创新创业大赛地方赛及全国总决赛相互独立，已报名第八届中国创新创业大赛的参赛者仍可报名参加本大赛。</w:t>
      </w:r>
    </w:p>
    <w:p w14:paraId="58F8D6F1" w14:textId="77777777" w:rsidR="007260FA" w:rsidRPr="007260FA" w:rsidRDefault="007260FA" w:rsidP="007260FA">
      <w:pPr>
        <w:widowControl/>
        <w:shd w:val="clear" w:color="auto" w:fill="E9F3FD"/>
        <w:snapToGrid w:val="0"/>
        <w:spacing w:beforeLines="100" w:before="312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黑体" w:eastAsia="黑体" w:hAnsi="黑体" w:cs="Arial" w:hint="eastAsia"/>
          <w:snapToGrid w:val="0"/>
          <w:color w:val="122E67"/>
          <w:kern w:val="0"/>
          <w:sz w:val="32"/>
          <w:szCs w:val="32"/>
        </w:rPr>
        <w:lastRenderedPageBreak/>
        <w:t>六、信息发布</w:t>
      </w:r>
    </w:p>
    <w:p w14:paraId="5D5AB4CA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进入“国家军民两用技术交易中心”官网及关注“科技城国家军民两用技术交易中心”微信公众号可及时获知大赛最新动态。</w:t>
      </w:r>
    </w:p>
    <w:p w14:paraId="7BD69008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 </w:t>
      </w:r>
    </w:p>
    <w:p w14:paraId="71607D43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color w:val="122E67"/>
          <w:kern w:val="0"/>
          <w:sz w:val="32"/>
          <w:szCs w:val="32"/>
        </w:rPr>
        <w:t> </w:t>
      </w:r>
      <w:r w:rsidRPr="007260FA">
        <w:rPr>
          <w:rFonts w:ascii="仿宋_GB2312" w:eastAsia="仿宋_GB2312" w:hAnsi="Arial" w:cs="Arial" w:hint="eastAsia"/>
          <w:color w:val="122E67"/>
          <w:kern w:val="0"/>
          <w:sz w:val="32"/>
          <w:szCs w:val="32"/>
        </w:rPr>
        <w:t xml:space="preserve">联系人：王先生 </w:t>
      </w:r>
      <w:r w:rsidRPr="007260FA">
        <w:rPr>
          <w:rFonts w:ascii="仿宋_GB2312" w:eastAsia="仿宋_GB2312" w:hAnsi="Arial" w:cs="Arial" w:hint="eastAsia"/>
          <w:color w:val="122E67"/>
          <w:kern w:val="0"/>
          <w:sz w:val="32"/>
          <w:szCs w:val="32"/>
        </w:rPr>
        <w:t> </w:t>
      </w:r>
      <w:r w:rsidRPr="007260FA">
        <w:rPr>
          <w:rFonts w:ascii="仿宋_GB2312" w:eastAsia="仿宋_GB2312" w:hAnsi="Arial" w:cs="Arial" w:hint="eastAsia"/>
          <w:color w:val="122E67"/>
          <w:kern w:val="0"/>
          <w:sz w:val="32"/>
          <w:szCs w:val="32"/>
        </w:rPr>
        <w:t xml:space="preserve"> </w:t>
      </w:r>
      <w:r w:rsidRPr="007260FA">
        <w:rPr>
          <w:rFonts w:ascii="仿宋_GB2312" w:eastAsia="仿宋_GB2312" w:hAnsi="Arial" w:cs="Arial" w:hint="eastAsia"/>
          <w:color w:val="122E67"/>
          <w:kern w:val="0"/>
          <w:sz w:val="32"/>
          <w:szCs w:val="32"/>
        </w:rPr>
        <w:t>  </w:t>
      </w:r>
      <w:r w:rsidRPr="007260FA">
        <w:rPr>
          <w:rFonts w:ascii="仿宋_GB2312" w:eastAsia="仿宋_GB2312" w:hAnsi="Arial" w:cs="Arial" w:hint="eastAsia"/>
          <w:color w:val="122E67"/>
          <w:kern w:val="0"/>
          <w:sz w:val="32"/>
          <w:szCs w:val="32"/>
        </w:rPr>
        <w:t>王女士</w:t>
      </w:r>
    </w:p>
    <w:p w14:paraId="1DB26502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座</w:t>
      </w: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 </w:t>
      </w: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 xml:space="preserve"> 机：</w:t>
      </w:r>
      <w:r w:rsidRPr="007260FA">
        <w:rPr>
          <w:rFonts w:ascii="Arial" w:eastAsia="仿宋_GB2312" w:hAnsi="Arial" w:cs="Arial"/>
          <w:color w:val="122E67"/>
          <w:kern w:val="0"/>
          <w:sz w:val="32"/>
          <w:szCs w:val="32"/>
        </w:rPr>
        <w:t>0816-6339638</w:t>
      </w:r>
    </w:p>
    <w:p w14:paraId="5FD9C655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手</w:t>
      </w: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> </w:t>
      </w:r>
      <w:r w:rsidRPr="007260FA">
        <w:rPr>
          <w:rFonts w:ascii="仿宋_GB2312" w:eastAsia="仿宋_GB2312" w:hAnsi="宋体" w:cs="Arial" w:hint="eastAsia"/>
          <w:color w:val="122E67"/>
          <w:kern w:val="0"/>
          <w:sz w:val="32"/>
          <w:szCs w:val="32"/>
        </w:rPr>
        <w:t xml:space="preserve"> 机：</w:t>
      </w:r>
      <w:r w:rsidRPr="007260FA">
        <w:rPr>
          <w:rFonts w:ascii="Arial" w:eastAsia="仿宋_GB2312" w:hAnsi="Arial" w:cs="Arial"/>
          <w:color w:val="122E67"/>
          <w:kern w:val="0"/>
          <w:sz w:val="32"/>
          <w:szCs w:val="32"/>
        </w:rPr>
        <w:t>15881699166    18011101231</w:t>
      </w:r>
    </w:p>
    <w:p w14:paraId="409A8518" w14:textId="77777777" w:rsidR="007260FA" w:rsidRPr="007260FA" w:rsidRDefault="007260FA" w:rsidP="007260FA">
      <w:pPr>
        <w:widowControl/>
        <w:shd w:val="clear" w:color="auto" w:fill="E9F3FD"/>
        <w:snapToGrid w:val="0"/>
        <w:spacing w:before="100" w:beforeAutospacing="1" w:after="100" w:afterAutospacing="1" w:line="600" w:lineRule="exact"/>
        <w:ind w:firstLineChars="200" w:firstLine="64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邮</w:t>
      </w:r>
      <w:r w:rsidRPr="007260FA">
        <w:rPr>
          <w:rFonts w:ascii="Arial" w:eastAsia="仿宋_GB2312" w:hAnsi="Arial" w:cs="Arial"/>
          <w:color w:val="122E67"/>
          <w:kern w:val="0"/>
          <w:sz w:val="32"/>
          <w:szCs w:val="32"/>
        </w:rPr>
        <w:t xml:space="preserve">  </w:t>
      </w:r>
      <w:r w:rsidRPr="007260FA">
        <w:rPr>
          <w:rFonts w:ascii="Times New Roman" w:eastAsia="仿宋_GB2312" w:hAnsi="Arial" w:cs="Arial" w:hint="eastAsia"/>
          <w:color w:val="122E67"/>
          <w:kern w:val="0"/>
          <w:sz w:val="32"/>
          <w:szCs w:val="32"/>
        </w:rPr>
        <w:t>箱：</w:t>
      </w:r>
      <w:r w:rsidRPr="007260FA">
        <w:rPr>
          <w:rFonts w:ascii="Arial" w:eastAsia="宋体" w:hAnsi="Arial" w:cs="Arial"/>
          <w:color w:val="000000"/>
          <w:kern w:val="0"/>
          <w:sz w:val="32"/>
          <w:szCs w:val="32"/>
        </w:rPr>
        <w:t>jzmds@myist.cn</w:t>
      </w:r>
    </w:p>
    <w:p w14:paraId="02F0B7DF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atLeast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宋体" w:hint="eastAsia"/>
          <w:color w:val="122E67"/>
          <w:kern w:val="0"/>
          <w:sz w:val="32"/>
          <w:szCs w:val="32"/>
        </w:rPr>
        <w:t> </w:t>
      </w:r>
    </w:p>
    <w:p w14:paraId="67CAAACB" w14:textId="77777777" w:rsidR="007260FA" w:rsidRPr="007260FA" w:rsidRDefault="007260FA" w:rsidP="007260FA">
      <w:pPr>
        <w:widowControl/>
        <w:shd w:val="clear" w:color="auto" w:fill="E9F3FD"/>
        <w:spacing w:before="100" w:beforeAutospacing="1" w:after="100" w:afterAutospacing="1" w:line="600" w:lineRule="exact"/>
        <w:ind w:leftChars="304" w:left="1918" w:hangingChars="400" w:hanging="1280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Calibri" w:eastAsia="仿宋_GB2312" w:hAnsi="Calibri" w:cs="Arial" w:hint="eastAsia"/>
          <w:color w:val="122E67"/>
          <w:kern w:val="0"/>
          <w:sz w:val="32"/>
          <w:szCs w:val="32"/>
        </w:rPr>
        <w:t>附件：</w:t>
      </w: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1.</w:t>
      </w:r>
      <w:r w:rsidRPr="007260FA">
        <w:rPr>
          <w:rFonts w:ascii="Calibri" w:eastAsia="仿宋_GB2312" w:hAnsi="Calibri" w:cs="Arial" w:hint="eastAsia"/>
          <w:color w:val="122E67"/>
          <w:kern w:val="0"/>
          <w:sz w:val="32"/>
          <w:szCs w:val="32"/>
        </w:rPr>
        <w:t>参赛项目信息表</w:t>
      </w:r>
    </w:p>
    <w:p w14:paraId="65072435" w14:textId="77777777" w:rsidR="007260FA" w:rsidRPr="007260FA" w:rsidRDefault="007260FA" w:rsidP="007260FA">
      <w:pPr>
        <w:widowControl/>
        <w:shd w:val="clear" w:color="auto" w:fill="E9F3FD"/>
        <w:spacing w:before="100" w:beforeAutospacing="1" w:afterAutospacing="1" w:line="600" w:lineRule="atLeast"/>
        <w:ind w:firstLine="1622"/>
        <w:jc w:val="left"/>
        <w:rPr>
          <w:rFonts w:ascii="Arial" w:eastAsia="宋体" w:hAnsi="Arial" w:cs="Arial"/>
          <w:color w:val="122E67"/>
          <w:kern w:val="0"/>
          <w:szCs w:val="21"/>
        </w:rPr>
      </w:pPr>
      <w:r w:rsidRPr="007260FA">
        <w:rPr>
          <w:rFonts w:ascii="仿宋_GB2312" w:eastAsia="仿宋_GB2312" w:hAnsi="宋体" w:cs="仿宋" w:hint="eastAsia"/>
          <w:snapToGrid w:val="0"/>
          <w:color w:val="122E67"/>
          <w:kern w:val="0"/>
          <w:sz w:val="32"/>
          <w:szCs w:val="32"/>
        </w:rPr>
        <w:t>2.</w:t>
      </w:r>
      <w:r w:rsidRPr="007260FA">
        <w:rPr>
          <w:rFonts w:ascii="Calibri" w:eastAsia="仿宋_GB2312" w:hAnsi="Calibri" w:cs="Arial" w:hint="eastAsia"/>
          <w:color w:val="122E67"/>
          <w:kern w:val="0"/>
          <w:sz w:val="32"/>
          <w:szCs w:val="32"/>
        </w:rPr>
        <w:t>参赛项目商业计划书</w:t>
      </w:r>
    </w:p>
    <w:p w14:paraId="3FC58DDC" w14:textId="77777777" w:rsidR="00B86296" w:rsidRPr="007260FA" w:rsidRDefault="00B86296"/>
    <w:sectPr w:rsidR="00B86296" w:rsidRPr="007260FA" w:rsidSect="00726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F660B"/>
    <w:rsid w:val="007260FA"/>
    <w:rsid w:val="00B86296"/>
    <w:rsid w:val="00D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A3229E-5C5E-4777-995A-843F1DF8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92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94181">
                  <w:marLeft w:val="0"/>
                  <w:marRight w:val="0"/>
                  <w:marTop w:val="150"/>
                  <w:marBottom w:val="0"/>
                  <w:divBdr>
                    <w:top w:val="single" w:sz="6" w:space="4" w:color="BAD5F2"/>
                    <w:left w:val="single" w:sz="6" w:space="4" w:color="BAD5F2"/>
                    <w:bottom w:val="single" w:sz="6" w:space="4" w:color="BAD5F2"/>
                    <w:right w:val="single" w:sz="6" w:space="4" w:color="BAD5F2"/>
                  </w:divBdr>
                  <w:divsChild>
                    <w:div w:id="17234092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万鑫 陈</dc:creator>
  <cp:keywords/>
  <dc:description/>
  <cp:lastModifiedBy>万鑫 陈</cp:lastModifiedBy>
  <cp:revision>2</cp:revision>
  <dcterms:created xsi:type="dcterms:W3CDTF">2019-07-06T06:37:00Z</dcterms:created>
  <dcterms:modified xsi:type="dcterms:W3CDTF">2019-07-06T06:39:00Z</dcterms:modified>
</cp:coreProperties>
</file>